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B1F" w14:textId="77777777" w:rsidR="00E6677E" w:rsidRPr="00E6677E" w:rsidRDefault="00E6677E" w:rsidP="00E6677E">
      <w:pPr>
        <w:rPr>
          <w:b/>
          <w:bCs/>
        </w:rPr>
      </w:pPr>
      <w:r w:rsidRPr="00E6677E">
        <w:rPr>
          <w:b/>
          <w:bCs/>
        </w:rPr>
        <w:t>Çöpten Değere: Yapay Zekânın Geri Dönüşüm Ekosistemindeki Potansiyeli</w:t>
      </w:r>
    </w:p>
    <w:p w14:paraId="3E2115BD" w14:textId="77777777" w:rsidR="00E6677E" w:rsidRPr="00E6677E" w:rsidRDefault="00E6677E" w:rsidP="00E6677E">
      <w:pPr>
        <w:rPr>
          <w:b/>
          <w:bCs/>
        </w:rPr>
      </w:pPr>
      <w:r w:rsidRPr="00E6677E">
        <w:rPr>
          <w:b/>
          <w:bCs/>
        </w:rPr>
        <w:t>Genel Bakış</w:t>
      </w:r>
    </w:p>
    <w:p w14:paraId="164BC8B5" w14:textId="77777777" w:rsidR="00E6677E" w:rsidRPr="00E6677E" w:rsidRDefault="00E6677E" w:rsidP="00E6677E">
      <w:r w:rsidRPr="00E6677E">
        <w:t>Geri dönüşümü teşvik eden kamu politikaları ve düzenleyici kampanyalar, halkın çöp sahalarına yönelik algısında bir değişim yaratmıştır. Bu değişim, medya, akademik araştırmalar ve özel girişimlerle desteklenerek toplumun geri dönüşüme verdiği önemi artırmıştır.</w:t>
      </w:r>
    </w:p>
    <w:p w14:paraId="745F8172" w14:textId="77777777" w:rsidR="00E6677E" w:rsidRPr="00E6677E" w:rsidRDefault="00E6677E" w:rsidP="00E6677E">
      <w:r w:rsidRPr="00E6677E">
        <w:t xml:space="preserve">Ancak geri dönüştürülen materyal miktarındaki artış, </w:t>
      </w:r>
      <w:r w:rsidRPr="00E6677E">
        <w:rPr>
          <w:b/>
          <w:bCs/>
        </w:rPr>
        <w:t>materyal geri kazanım tesislerinin artan talebi en etkili, verimli ve güvenli şekilde nasıl yöneteceği</w:t>
      </w:r>
      <w:r w:rsidRPr="00E6677E">
        <w:t xml:space="preserve"> sorusunu gündeme getirmiştir. Bu talepleri karşılamak için bir şirket, </w:t>
      </w:r>
      <w:r w:rsidRPr="00E6677E">
        <w:rPr>
          <w:b/>
          <w:bCs/>
        </w:rPr>
        <w:t>AI destekli bir atık ayırma ünitesi</w:t>
      </w:r>
      <w:r w:rsidRPr="00E6677E">
        <w:t xml:space="preserve"> geliştirmeyi tercih etmiş ve </w:t>
      </w:r>
      <w:proofErr w:type="spellStart"/>
      <w:r w:rsidRPr="00E6677E">
        <w:t>AAEON’dan</w:t>
      </w:r>
      <w:proofErr w:type="spellEnd"/>
      <w:r w:rsidRPr="00E6677E">
        <w:t xml:space="preserve"> bu hedefi gerçekleştirmede destek almıştır.</w:t>
      </w:r>
    </w:p>
    <w:p w14:paraId="0EF5ED60" w14:textId="77777777" w:rsidR="00E6677E" w:rsidRPr="00E6677E" w:rsidRDefault="00E6677E" w:rsidP="00E6677E">
      <w:r w:rsidRPr="00E6677E">
        <w:pict w14:anchorId="3BB17A20">
          <v:rect id="_x0000_i1061" style="width:0;height:1.5pt" o:hralign="center" o:hrstd="t" o:hr="t" fillcolor="#a0a0a0" stroked="f"/>
        </w:pict>
      </w:r>
    </w:p>
    <w:p w14:paraId="0BA03234" w14:textId="77777777" w:rsidR="00E6677E" w:rsidRPr="00E6677E" w:rsidRDefault="00E6677E" w:rsidP="00E6677E">
      <w:pPr>
        <w:rPr>
          <w:b/>
          <w:bCs/>
        </w:rPr>
      </w:pPr>
      <w:r w:rsidRPr="00E6677E">
        <w:rPr>
          <w:b/>
          <w:bCs/>
        </w:rPr>
        <w:t>Atık Yönetimindeki Zorluklar</w:t>
      </w:r>
    </w:p>
    <w:p w14:paraId="1BB29C75" w14:textId="77777777" w:rsidR="00E6677E" w:rsidRPr="00E6677E" w:rsidRDefault="00E6677E" w:rsidP="00E6677E">
      <w:r w:rsidRPr="00E6677E">
        <w:t xml:space="preserve">Materyal geri kazanım tesisleri, geri dönüşüm ekosisteminde birçok rol üstlenir; ancak kritik bir görev, </w:t>
      </w:r>
      <w:r w:rsidRPr="00E6677E">
        <w:rPr>
          <w:b/>
          <w:bCs/>
        </w:rPr>
        <w:t>geri dönüştürülebilir atıkları kontaminasyon açısından denetlemektir</w:t>
      </w:r>
      <w:r w:rsidRPr="00E6677E">
        <w:t>.</w:t>
      </w:r>
    </w:p>
    <w:p w14:paraId="2E28E462" w14:textId="77777777" w:rsidR="00E6677E" w:rsidRPr="00E6677E" w:rsidRDefault="00E6677E" w:rsidP="00E6677E">
      <w:pPr>
        <w:numPr>
          <w:ilvl w:val="0"/>
          <w:numId w:val="1"/>
        </w:numPr>
      </w:pPr>
      <w:r w:rsidRPr="00E6677E">
        <w:rPr>
          <w:b/>
          <w:bCs/>
        </w:rPr>
        <w:t>Tehlikeli veya geri dönüştürülemez maddeler</w:t>
      </w:r>
      <w:r w:rsidRPr="00E6677E">
        <w:t>, geri dönüştürülebilir akışın kalitesini düşürür ve tesis operatörleri ile ekipman için risk oluşturur.</w:t>
      </w:r>
    </w:p>
    <w:p w14:paraId="71CE600F" w14:textId="77777777" w:rsidR="00E6677E" w:rsidRPr="00E6677E" w:rsidRDefault="00E6677E" w:rsidP="00E6677E">
      <w:pPr>
        <w:numPr>
          <w:ilvl w:val="0"/>
          <w:numId w:val="1"/>
        </w:numPr>
      </w:pPr>
      <w:r w:rsidRPr="00E6677E">
        <w:t xml:space="preserve">Özellikle elektronik atıkların yanlış bertaraf </w:t>
      </w:r>
      <w:proofErr w:type="gramStart"/>
      <w:r w:rsidRPr="00E6677E">
        <w:t>edilmesi,</w:t>
      </w:r>
      <w:proofErr w:type="gramEnd"/>
      <w:r w:rsidRPr="00E6677E">
        <w:t xml:space="preserve"> hem işçilik maliyetlerini artırır hem de yangın riski yaratır.</w:t>
      </w:r>
    </w:p>
    <w:p w14:paraId="15482533" w14:textId="77777777" w:rsidR="00E6677E" w:rsidRPr="00E6677E" w:rsidRDefault="00E6677E" w:rsidP="00E6677E">
      <w:pPr>
        <w:numPr>
          <w:ilvl w:val="0"/>
          <w:numId w:val="1"/>
        </w:numPr>
      </w:pPr>
      <w:r w:rsidRPr="00E6677E">
        <w:t>Operatörler, bu tür maddelerle doğrudan temas ederek kimyasal tehlikelere maruz kalabilir.</w:t>
      </w:r>
    </w:p>
    <w:p w14:paraId="0BC7D1D9" w14:textId="77777777" w:rsidR="00E6677E" w:rsidRPr="00E6677E" w:rsidRDefault="00E6677E" w:rsidP="00E6677E">
      <w:r w:rsidRPr="00E6677E">
        <w:pict w14:anchorId="22A6F119">
          <v:rect id="_x0000_i1062" style="width:0;height:1.5pt" o:hralign="center" o:hrstd="t" o:hr="t" fillcolor="#a0a0a0" stroked="f"/>
        </w:pict>
      </w:r>
    </w:p>
    <w:p w14:paraId="0BCA2DC7" w14:textId="77777777" w:rsidR="00E6677E" w:rsidRPr="00E6677E" w:rsidRDefault="00E6677E" w:rsidP="00E6677E">
      <w:pPr>
        <w:rPr>
          <w:b/>
          <w:bCs/>
        </w:rPr>
      </w:pPr>
      <w:r w:rsidRPr="00E6677E">
        <w:rPr>
          <w:b/>
          <w:bCs/>
        </w:rPr>
        <w:t>Proje Hedefleri ve Gereksinimler</w:t>
      </w:r>
    </w:p>
    <w:p w14:paraId="664AEAC1" w14:textId="77777777" w:rsidR="00E6677E" w:rsidRPr="00E6677E" w:rsidRDefault="00E6677E" w:rsidP="00E6677E">
      <w:r w:rsidRPr="00E6677E">
        <w:t xml:space="preserve">Şirket, geri dönüşüm hatlarında </w:t>
      </w:r>
      <w:r w:rsidRPr="00E6677E">
        <w:rPr>
          <w:b/>
          <w:bCs/>
        </w:rPr>
        <w:t>tehlikeli materyalleri otomatik olarak tespit eden ve malzemeleri uygun kategorilere ayıran</w:t>
      </w:r>
      <w:r w:rsidRPr="00E6677E">
        <w:t xml:space="preserve"> bir sistem entegre etmeyi hedefledi.</w:t>
      </w:r>
    </w:p>
    <w:p w14:paraId="631CE88B" w14:textId="77777777" w:rsidR="00E6677E" w:rsidRPr="00E6677E" w:rsidRDefault="00E6677E" w:rsidP="00E6677E">
      <w:pPr>
        <w:rPr>
          <w:b/>
          <w:bCs/>
        </w:rPr>
      </w:pPr>
      <w:r w:rsidRPr="00E6677E">
        <w:rPr>
          <w:b/>
          <w:bCs/>
        </w:rPr>
        <w:t>Gereksinimler:</w:t>
      </w:r>
    </w:p>
    <w:p w14:paraId="6712150E" w14:textId="77777777" w:rsidR="00E6677E" w:rsidRPr="00E6677E" w:rsidRDefault="00E6677E" w:rsidP="00E6677E">
      <w:pPr>
        <w:numPr>
          <w:ilvl w:val="0"/>
          <w:numId w:val="2"/>
        </w:numPr>
      </w:pPr>
      <w:r w:rsidRPr="00E6677E">
        <w:rPr>
          <w:b/>
          <w:bCs/>
        </w:rPr>
        <w:t>Gerçek Zamanlı Veri İşleme:</w:t>
      </w:r>
      <w:r w:rsidRPr="00E6677E">
        <w:t xml:space="preserve"> Büyük veri hacmi için anlık işlem ve sınıflandırma</w:t>
      </w:r>
    </w:p>
    <w:p w14:paraId="3BBE9DE4" w14:textId="77777777" w:rsidR="00E6677E" w:rsidRPr="00E6677E" w:rsidRDefault="00E6677E" w:rsidP="00E6677E">
      <w:pPr>
        <w:numPr>
          <w:ilvl w:val="0"/>
          <w:numId w:val="2"/>
        </w:numPr>
      </w:pPr>
      <w:r w:rsidRPr="00E6677E">
        <w:rPr>
          <w:b/>
          <w:bCs/>
        </w:rPr>
        <w:t>Güvenilir Çevresel Destek:</w:t>
      </w:r>
      <w:r w:rsidRPr="00E6677E">
        <w:t xml:space="preserve"> Kamera bağlantısı ve görüntü analiz verilerinin operatör panellerine iletilmesi</w:t>
      </w:r>
    </w:p>
    <w:p w14:paraId="1ABC0B92" w14:textId="77777777" w:rsidR="00E6677E" w:rsidRPr="00E6677E" w:rsidRDefault="00E6677E" w:rsidP="00E6677E">
      <w:pPr>
        <w:numPr>
          <w:ilvl w:val="0"/>
          <w:numId w:val="2"/>
        </w:numPr>
      </w:pPr>
      <w:r w:rsidRPr="00E6677E">
        <w:rPr>
          <w:b/>
          <w:bCs/>
        </w:rPr>
        <w:t>Çalışma Kararlılığı:</w:t>
      </w:r>
      <w:r w:rsidRPr="00E6677E">
        <w:t xml:space="preserve"> Toz, titreşim ve dalgalanan güç koşullarına karşı dayanıklı donanım</w:t>
      </w:r>
    </w:p>
    <w:p w14:paraId="3B14AE6A" w14:textId="77777777" w:rsidR="00E6677E" w:rsidRPr="00E6677E" w:rsidRDefault="00E6677E" w:rsidP="00E6677E">
      <w:r w:rsidRPr="00E6677E">
        <w:pict w14:anchorId="797C0CE4">
          <v:rect id="_x0000_i1063" style="width:0;height:1.5pt" o:hralign="center" o:hrstd="t" o:hr="t" fillcolor="#a0a0a0" stroked="f"/>
        </w:pict>
      </w:r>
    </w:p>
    <w:p w14:paraId="2373F233" w14:textId="77777777" w:rsidR="00E6677E" w:rsidRPr="00E6677E" w:rsidRDefault="00E6677E" w:rsidP="00E6677E">
      <w:pPr>
        <w:rPr>
          <w:b/>
          <w:bCs/>
        </w:rPr>
      </w:pPr>
      <w:r w:rsidRPr="00E6677E">
        <w:rPr>
          <w:b/>
          <w:bCs/>
        </w:rPr>
        <w:t>Çözüm: AAEON BOXER-6647-MTH</w:t>
      </w:r>
    </w:p>
    <w:p w14:paraId="321F5244" w14:textId="77777777" w:rsidR="00E6677E" w:rsidRPr="00E6677E" w:rsidRDefault="00E6677E" w:rsidP="00E6677E">
      <w:pPr>
        <w:rPr>
          <w:b/>
          <w:bCs/>
        </w:rPr>
      </w:pPr>
      <w:r w:rsidRPr="00E6677E">
        <w:rPr>
          <w:b/>
          <w:bCs/>
        </w:rPr>
        <w:t>CPU, NPU ve GPU Entegrasyonu</w:t>
      </w:r>
    </w:p>
    <w:p w14:paraId="76A3B5F8" w14:textId="77777777" w:rsidR="00E6677E" w:rsidRPr="00E6677E" w:rsidRDefault="00E6677E" w:rsidP="00E6677E">
      <w:pPr>
        <w:numPr>
          <w:ilvl w:val="0"/>
          <w:numId w:val="3"/>
        </w:numPr>
      </w:pPr>
      <w:r w:rsidRPr="00E6677E">
        <w:rPr>
          <w:b/>
          <w:bCs/>
        </w:rPr>
        <w:lastRenderedPageBreak/>
        <w:t xml:space="preserve">Intel® </w:t>
      </w:r>
      <w:proofErr w:type="spellStart"/>
      <w:r w:rsidRPr="00E6677E">
        <w:rPr>
          <w:b/>
          <w:bCs/>
        </w:rPr>
        <w:t>Core</w:t>
      </w:r>
      <w:proofErr w:type="spellEnd"/>
      <w:r w:rsidRPr="00E6677E">
        <w:rPr>
          <w:b/>
          <w:bCs/>
        </w:rPr>
        <w:t xml:space="preserve">™ Ultra 7 </w:t>
      </w:r>
      <w:proofErr w:type="spellStart"/>
      <w:r w:rsidRPr="00E6677E">
        <w:rPr>
          <w:b/>
          <w:bCs/>
        </w:rPr>
        <w:t>Processor</w:t>
      </w:r>
      <w:proofErr w:type="spellEnd"/>
      <w:r w:rsidRPr="00E6677E">
        <w:rPr>
          <w:b/>
          <w:bCs/>
        </w:rPr>
        <w:t xml:space="preserve"> 155H:</w:t>
      </w:r>
      <w:r w:rsidRPr="00E6677E">
        <w:t xml:space="preserve"> Görüntü verilerini ön işleme, hesaplama görevleri ve paralel AI iş yükleri</w:t>
      </w:r>
    </w:p>
    <w:p w14:paraId="0188DEF0" w14:textId="77777777" w:rsidR="00E6677E" w:rsidRPr="00E6677E" w:rsidRDefault="00E6677E" w:rsidP="00E6677E">
      <w:pPr>
        <w:numPr>
          <w:ilvl w:val="0"/>
          <w:numId w:val="3"/>
        </w:numPr>
      </w:pPr>
      <w:r w:rsidRPr="00E6677E">
        <w:rPr>
          <w:b/>
          <w:bCs/>
        </w:rPr>
        <w:t>Entegre NPU:</w:t>
      </w:r>
      <w:r w:rsidRPr="00E6677E">
        <w:t xml:space="preserve"> Düşük güçlü AI görevleri ve sınırlı çıkarım işlemleri</w:t>
      </w:r>
    </w:p>
    <w:p w14:paraId="7ADD49C4" w14:textId="77777777" w:rsidR="00E6677E" w:rsidRPr="00E6677E" w:rsidRDefault="00E6677E" w:rsidP="00E6677E">
      <w:pPr>
        <w:numPr>
          <w:ilvl w:val="0"/>
          <w:numId w:val="3"/>
        </w:numPr>
      </w:pPr>
      <w:r w:rsidRPr="00E6677E">
        <w:rPr>
          <w:b/>
          <w:bCs/>
        </w:rPr>
        <w:t xml:space="preserve">Intel® </w:t>
      </w:r>
      <w:proofErr w:type="spellStart"/>
      <w:r w:rsidRPr="00E6677E">
        <w:rPr>
          <w:b/>
          <w:bCs/>
        </w:rPr>
        <w:t>Arc</w:t>
      </w:r>
      <w:proofErr w:type="spellEnd"/>
      <w:r w:rsidRPr="00E6677E">
        <w:rPr>
          <w:b/>
          <w:bCs/>
        </w:rPr>
        <w:t>™ GPU:</w:t>
      </w:r>
      <w:r w:rsidRPr="00E6677E">
        <w:t xml:space="preserve"> Yüksek verimli paralel işlem, nesne sınıflandırma ve görüntü segmentasyonu</w:t>
      </w:r>
    </w:p>
    <w:p w14:paraId="1663E755" w14:textId="77777777" w:rsidR="00E6677E" w:rsidRPr="00E6677E" w:rsidRDefault="00E6677E" w:rsidP="00E6677E">
      <w:r w:rsidRPr="00E6677E">
        <w:t xml:space="preserve">Bu dinamik kaynak </w:t>
      </w:r>
      <w:proofErr w:type="gramStart"/>
      <w:r w:rsidRPr="00E6677E">
        <w:t>dağılımı,</w:t>
      </w:r>
      <w:proofErr w:type="gramEnd"/>
      <w:r w:rsidRPr="00E6677E">
        <w:t xml:space="preserve"> hem </w:t>
      </w:r>
      <w:r w:rsidRPr="00E6677E">
        <w:rPr>
          <w:b/>
          <w:bCs/>
        </w:rPr>
        <w:t>gecikmeyi azaltmış hem de enerji tüketimini düşürmüş</w:t>
      </w:r>
      <w:r w:rsidRPr="00E6677E">
        <w:t>, böylece çevresel sürdürülebilirlik hedefleri desteklenmiştir.</w:t>
      </w:r>
    </w:p>
    <w:p w14:paraId="11AE61F4" w14:textId="77777777" w:rsidR="00E6677E" w:rsidRPr="00E6677E" w:rsidRDefault="00E6677E" w:rsidP="00E6677E">
      <w:r w:rsidRPr="00E6677E">
        <w:pict w14:anchorId="27078B9A">
          <v:rect id="_x0000_i1064" style="width:0;height:1.5pt" o:hralign="center" o:hrstd="t" o:hr="t" fillcolor="#a0a0a0" stroked="f"/>
        </w:pict>
      </w:r>
    </w:p>
    <w:p w14:paraId="69F07859" w14:textId="77777777" w:rsidR="00E6677E" w:rsidRPr="00E6677E" w:rsidRDefault="00E6677E" w:rsidP="00E6677E">
      <w:pPr>
        <w:rPr>
          <w:b/>
          <w:bCs/>
        </w:rPr>
      </w:pPr>
      <w:r w:rsidRPr="00E6677E">
        <w:rPr>
          <w:b/>
          <w:bCs/>
        </w:rPr>
        <w:t>Basit ve Dayanıklı Arayüzler</w:t>
      </w:r>
    </w:p>
    <w:p w14:paraId="4945DCB3" w14:textId="77777777" w:rsidR="00E6677E" w:rsidRPr="00E6677E" w:rsidRDefault="00E6677E" w:rsidP="00E6677E">
      <w:pPr>
        <w:numPr>
          <w:ilvl w:val="0"/>
          <w:numId w:val="4"/>
        </w:numPr>
      </w:pPr>
      <w:r w:rsidRPr="00E6677E">
        <w:t xml:space="preserve">4x USB 3.2 </w:t>
      </w:r>
      <w:proofErr w:type="spellStart"/>
      <w:r w:rsidRPr="00E6677E">
        <w:t>Type</w:t>
      </w:r>
      <w:proofErr w:type="spellEnd"/>
      <w:r w:rsidRPr="00E6677E">
        <w:t>-A ve 3x RJ-45 port (2x 2.5GbE, 1x 1GbE)</w:t>
      </w:r>
    </w:p>
    <w:p w14:paraId="1830AE39" w14:textId="77777777" w:rsidR="00E6677E" w:rsidRPr="00E6677E" w:rsidRDefault="00E6677E" w:rsidP="00E6677E">
      <w:pPr>
        <w:numPr>
          <w:ilvl w:val="0"/>
          <w:numId w:val="4"/>
        </w:numPr>
      </w:pPr>
      <w:r w:rsidRPr="00E6677E">
        <w:t xml:space="preserve">Intel® </w:t>
      </w:r>
      <w:proofErr w:type="spellStart"/>
      <w:r w:rsidRPr="00E6677E">
        <w:t>RealSense</w:t>
      </w:r>
      <w:proofErr w:type="spellEnd"/>
      <w:r w:rsidRPr="00E6677E">
        <w:t xml:space="preserve">™ Depth </w:t>
      </w:r>
      <w:proofErr w:type="spellStart"/>
      <w:r w:rsidRPr="00E6677E">
        <w:t>Camera</w:t>
      </w:r>
      <w:proofErr w:type="spellEnd"/>
      <w:r w:rsidRPr="00E6677E">
        <w:t xml:space="preserve"> D456 ile yüksek çözünürlüklü RGB ve derinlik verisi toplama</w:t>
      </w:r>
    </w:p>
    <w:p w14:paraId="1E988977" w14:textId="77777777" w:rsidR="00E6677E" w:rsidRPr="00E6677E" w:rsidRDefault="00E6677E" w:rsidP="00E6677E">
      <w:pPr>
        <w:numPr>
          <w:ilvl w:val="0"/>
          <w:numId w:val="4"/>
        </w:numPr>
      </w:pPr>
      <w:r w:rsidRPr="00E6677E">
        <w:t>2x HDMI: Operatör panellerine veri aktarımı</w:t>
      </w:r>
    </w:p>
    <w:p w14:paraId="5CDE5C04" w14:textId="77777777" w:rsidR="00E6677E" w:rsidRPr="00E6677E" w:rsidRDefault="00E6677E" w:rsidP="00E6677E">
      <w:pPr>
        <w:numPr>
          <w:ilvl w:val="0"/>
          <w:numId w:val="4"/>
        </w:numPr>
      </w:pPr>
      <w:r w:rsidRPr="00E6677E">
        <w:t>2x DB-9: RS-232/422/485 ile sensör ve motor kontrolü</w:t>
      </w:r>
    </w:p>
    <w:p w14:paraId="597CF1B9" w14:textId="77777777" w:rsidR="00E6677E" w:rsidRPr="00E6677E" w:rsidRDefault="00E6677E" w:rsidP="00E6677E">
      <w:r w:rsidRPr="00E6677E">
        <w:pict w14:anchorId="678367B0">
          <v:rect id="_x0000_i1065" style="width:0;height:1.5pt" o:hralign="center" o:hrstd="t" o:hr="t" fillcolor="#a0a0a0" stroked="f"/>
        </w:pict>
      </w:r>
    </w:p>
    <w:p w14:paraId="2952321B" w14:textId="77777777" w:rsidR="00E6677E" w:rsidRPr="00E6677E" w:rsidRDefault="00E6677E" w:rsidP="00E6677E">
      <w:pPr>
        <w:rPr>
          <w:b/>
          <w:bCs/>
        </w:rPr>
      </w:pPr>
      <w:r w:rsidRPr="00E6677E">
        <w:rPr>
          <w:b/>
          <w:bCs/>
        </w:rPr>
        <w:t>Çevresel Dayanıklılık</w:t>
      </w:r>
    </w:p>
    <w:p w14:paraId="5158FEDD" w14:textId="77777777" w:rsidR="00E6677E" w:rsidRPr="00E6677E" w:rsidRDefault="00E6677E" w:rsidP="00E6677E">
      <w:pPr>
        <w:numPr>
          <w:ilvl w:val="0"/>
          <w:numId w:val="5"/>
        </w:numPr>
      </w:pPr>
      <w:r w:rsidRPr="00E6677E">
        <w:rPr>
          <w:b/>
          <w:bCs/>
        </w:rPr>
        <w:t>Boyut:</w:t>
      </w:r>
      <w:r w:rsidRPr="00E6677E">
        <w:t xml:space="preserve"> 220mm x 154mm x 62,1mm, kompakt ve esnek kurulum</w:t>
      </w:r>
    </w:p>
    <w:p w14:paraId="5E3641F2" w14:textId="77777777" w:rsidR="00E6677E" w:rsidRPr="00E6677E" w:rsidRDefault="00E6677E" w:rsidP="00E6677E">
      <w:pPr>
        <w:numPr>
          <w:ilvl w:val="0"/>
          <w:numId w:val="5"/>
        </w:numPr>
      </w:pPr>
      <w:r w:rsidRPr="00E6677E">
        <w:rPr>
          <w:b/>
          <w:bCs/>
        </w:rPr>
        <w:t>Güç girişi:</w:t>
      </w:r>
      <w:r w:rsidRPr="00E6677E">
        <w:t xml:space="preserve"> 9V–36V, güç dalgalanmalarına karşı koruma</w:t>
      </w:r>
    </w:p>
    <w:p w14:paraId="628CBCB3" w14:textId="77777777" w:rsidR="00E6677E" w:rsidRPr="00E6677E" w:rsidRDefault="00E6677E" w:rsidP="00E6677E">
      <w:pPr>
        <w:numPr>
          <w:ilvl w:val="0"/>
          <w:numId w:val="5"/>
        </w:numPr>
      </w:pPr>
      <w:r w:rsidRPr="00E6677E">
        <w:rPr>
          <w:b/>
          <w:bCs/>
        </w:rPr>
        <w:t>Çalışma sıcaklığı:</w:t>
      </w:r>
      <w:r w:rsidRPr="00E6677E">
        <w:t xml:space="preserve"> -20°C ila 60°C</w:t>
      </w:r>
    </w:p>
    <w:p w14:paraId="4C300C6C" w14:textId="77777777" w:rsidR="00E6677E" w:rsidRPr="00E6677E" w:rsidRDefault="00E6677E" w:rsidP="00E6677E">
      <w:pPr>
        <w:numPr>
          <w:ilvl w:val="0"/>
          <w:numId w:val="5"/>
        </w:numPr>
      </w:pPr>
      <w:r w:rsidRPr="00E6677E">
        <w:rPr>
          <w:b/>
          <w:bCs/>
        </w:rPr>
        <w:t>Anti-titreşim ve anti-şok:</w:t>
      </w:r>
      <w:r w:rsidRPr="00E6677E">
        <w:t xml:space="preserve"> Endüstriyel ortamlarda güvenilir performans</w:t>
      </w:r>
    </w:p>
    <w:p w14:paraId="6A596C90" w14:textId="77777777" w:rsidR="00E6677E" w:rsidRPr="00E6677E" w:rsidRDefault="00E6677E" w:rsidP="00E6677E">
      <w:r w:rsidRPr="00E6677E">
        <w:pict w14:anchorId="372DB57D">
          <v:rect id="_x0000_i1066" style="width:0;height:1.5pt" o:hralign="center" o:hrstd="t" o:hr="t" fillcolor="#a0a0a0" stroked="f"/>
        </w:pict>
      </w:r>
    </w:p>
    <w:p w14:paraId="03A6CEA5" w14:textId="77777777" w:rsidR="00E6677E" w:rsidRPr="00E6677E" w:rsidRDefault="00E6677E" w:rsidP="00E6677E">
      <w:pPr>
        <w:rPr>
          <w:b/>
          <w:bCs/>
        </w:rPr>
      </w:pPr>
      <w:r w:rsidRPr="00E6677E">
        <w:rPr>
          <w:b/>
          <w:bCs/>
        </w:rPr>
        <w:t>Etkiler ve Gelecek Perspektifi</w:t>
      </w:r>
    </w:p>
    <w:p w14:paraId="31524CDC" w14:textId="77777777" w:rsidR="00E6677E" w:rsidRPr="00E6677E" w:rsidRDefault="00E6677E" w:rsidP="00E6677E">
      <w:r w:rsidRPr="00E6677E">
        <w:t xml:space="preserve">BOXER-6647-MTH’nin entegrasyonu ile müşterinin </w:t>
      </w:r>
      <w:r w:rsidRPr="00E6677E">
        <w:rPr>
          <w:b/>
          <w:bCs/>
        </w:rPr>
        <w:t>AI destekli atık ayırma ünitesi</w:t>
      </w:r>
      <w:r w:rsidRPr="00E6677E">
        <w:t>, hız, doğruluk ve tutarlılık açısından ciddi iyileşmeler gösterdi.</w:t>
      </w:r>
    </w:p>
    <w:p w14:paraId="3D5B6140" w14:textId="77777777" w:rsidR="00E6677E" w:rsidRPr="00E6677E" w:rsidRDefault="00E6677E" w:rsidP="00E6677E">
      <w:pPr>
        <w:numPr>
          <w:ilvl w:val="0"/>
          <w:numId w:val="6"/>
        </w:numPr>
      </w:pPr>
      <w:r w:rsidRPr="00E6677E">
        <w:t>Tehlikeli ve uygunsuz atıklar otomatik olarak ayrıldı</w:t>
      </w:r>
    </w:p>
    <w:p w14:paraId="75AE991B" w14:textId="77777777" w:rsidR="00E6677E" w:rsidRPr="00E6677E" w:rsidRDefault="00E6677E" w:rsidP="00E6677E">
      <w:pPr>
        <w:numPr>
          <w:ilvl w:val="0"/>
          <w:numId w:val="6"/>
        </w:numPr>
      </w:pPr>
      <w:r w:rsidRPr="00E6677E">
        <w:t>Operatörler için güvenlik ve süreç verimliliği artırıldı</w:t>
      </w:r>
    </w:p>
    <w:p w14:paraId="46349E3D" w14:textId="77777777" w:rsidR="00E6677E" w:rsidRPr="00E6677E" w:rsidRDefault="00E6677E" w:rsidP="00E6677E">
      <w:pPr>
        <w:numPr>
          <w:ilvl w:val="0"/>
          <w:numId w:val="6"/>
        </w:numPr>
      </w:pPr>
      <w:r w:rsidRPr="00E6677E">
        <w:t>Geri dönüşüm endüstrisindeki büyük sorunlardan biri ortadan kaldırıldı</w:t>
      </w:r>
    </w:p>
    <w:p w14:paraId="6BA766B2" w14:textId="77777777" w:rsidR="00E6677E" w:rsidRPr="00E6677E" w:rsidRDefault="00E6677E" w:rsidP="00E6677E">
      <w:r w:rsidRPr="00E6677E">
        <w:t xml:space="preserve">İlk proje başarılı bir şekilde tamamlanmış olsa </w:t>
      </w:r>
      <w:proofErr w:type="gramStart"/>
      <w:r w:rsidRPr="00E6677E">
        <w:t>da,</w:t>
      </w:r>
      <w:proofErr w:type="gramEnd"/>
      <w:r w:rsidRPr="00E6677E">
        <w:t xml:space="preserve"> </w:t>
      </w:r>
      <w:r w:rsidRPr="00E6677E">
        <w:rPr>
          <w:b/>
          <w:bCs/>
        </w:rPr>
        <w:t>AI destekli atık ayırma ünitesinin yaygınlaştırılması için yeni bir başlangıç</w:t>
      </w:r>
      <w:r w:rsidRPr="00E6677E">
        <w:t xml:space="preserve"> olarak görülüyor. Bu çözüm, </w:t>
      </w:r>
      <w:r w:rsidRPr="00E6677E">
        <w:rPr>
          <w:b/>
          <w:bCs/>
        </w:rPr>
        <w:t xml:space="preserve">AI ve </w:t>
      </w:r>
      <w:proofErr w:type="spellStart"/>
      <w:r w:rsidRPr="00E6677E">
        <w:rPr>
          <w:b/>
          <w:bCs/>
        </w:rPr>
        <w:t>edge</w:t>
      </w:r>
      <w:proofErr w:type="spellEnd"/>
      <w:r w:rsidRPr="00E6677E">
        <w:rPr>
          <w:b/>
          <w:bCs/>
        </w:rPr>
        <w:t xml:space="preserve"> </w:t>
      </w:r>
      <w:proofErr w:type="spellStart"/>
      <w:r w:rsidRPr="00E6677E">
        <w:rPr>
          <w:b/>
          <w:bCs/>
        </w:rPr>
        <w:t>computing’in</w:t>
      </w:r>
      <w:proofErr w:type="spellEnd"/>
      <w:r w:rsidRPr="00E6677E">
        <w:rPr>
          <w:b/>
          <w:bCs/>
        </w:rPr>
        <w:t xml:space="preserve"> sürdürülebilirlik hedeflerine ulaşmada kurumlara nasıl yardımcı olabileceğini</w:t>
      </w:r>
      <w:r w:rsidRPr="00E6677E">
        <w:t xml:space="preserve"> gösteriyor.</w:t>
      </w:r>
    </w:p>
    <w:p w14:paraId="1FF10A68"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F88"/>
    <w:multiLevelType w:val="multilevel"/>
    <w:tmpl w:val="800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1C02"/>
    <w:multiLevelType w:val="multilevel"/>
    <w:tmpl w:val="640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3109F"/>
    <w:multiLevelType w:val="multilevel"/>
    <w:tmpl w:val="A7C2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2445A"/>
    <w:multiLevelType w:val="multilevel"/>
    <w:tmpl w:val="05D2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D2971"/>
    <w:multiLevelType w:val="multilevel"/>
    <w:tmpl w:val="09D6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A36C06"/>
    <w:multiLevelType w:val="multilevel"/>
    <w:tmpl w:val="F1E8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461503">
    <w:abstractNumId w:val="0"/>
  </w:num>
  <w:num w:numId="2" w16cid:durableId="35741049">
    <w:abstractNumId w:val="4"/>
  </w:num>
  <w:num w:numId="3" w16cid:durableId="528104868">
    <w:abstractNumId w:val="2"/>
  </w:num>
  <w:num w:numId="4" w16cid:durableId="723918208">
    <w:abstractNumId w:val="1"/>
  </w:num>
  <w:num w:numId="5" w16cid:durableId="1379207771">
    <w:abstractNumId w:val="3"/>
  </w:num>
  <w:num w:numId="6" w16cid:durableId="599681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7E"/>
    <w:rsid w:val="005B1B44"/>
    <w:rsid w:val="006879CF"/>
    <w:rsid w:val="006B59BD"/>
    <w:rsid w:val="006D41E0"/>
    <w:rsid w:val="00947289"/>
    <w:rsid w:val="009D53D2"/>
    <w:rsid w:val="00E667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2DE1"/>
  <w15:chartTrackingRefBased/>
  <w15:docId w15:val="{1E6C5FC6-FB6C-4984-9AF1-4BF8D007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66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66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6677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6677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6677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667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667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667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667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677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6677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6677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6677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6677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667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667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667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6677E"/>
    <w:rPr>
      <w:rFonts w:eastAsiaTheme="majorEastAsia" w:cstheme="majorBidi"/>
      <w:color w:val="272727" w:themeColor="text1" w:themeTint="D8"/>
    </w:rPr>
  </w:style>
  <w:style w:type="paragraph" w:styleId="KonuBal">
    <w:name w:val="Title"/>
    <w:basedOn w:val="Normal"/>
    <w:next w:val="Normal"/>
    <w:link w:val="KonuBalChar"/>
    <w:uiPriority w:val="10"/>
    <w:qFormat/>
    <w:rsid w:val="00E66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667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667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667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667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6677E"/>
    <w:rPr>
      <w:i/>
      <w:iCs/>
      <w:color w:val="404040" w:themeColor="text1" w:themeTint="BF"/>
    </w:rPr>
  </w:style>
  <w:style w:type="paragraph" w:styleId="ListeParagraf">
    <w:name w:val="List Paragraph"/>
    <w:basedOn w:val="Normal"/>
    <w:uiPriority w:val="34"/>
    <w:qFormat/>
    <w:rsid w:val="00E6677E"/>
    <w:pPr>
      <w:ind w:left="720"/>
      <w:contextualSpacing/>
    </w:pPr>
  </w:style>
  <w:style w:type="character" w:styleId="GlVurgulama">
    <w:name w:val="Intense Emphasis"/>
    <w:basedOn w:val="VarsaylanParagrafYazTipi"/>
    <w:uiPriority w:val="21"/>
    <w:qFormat/>
    <w:rsid w:val="00E6677E"/>
    <w:rPr>
      <w:i/>
      <w:iCs/>
      <w:color w:val="2F5496" w:themeColor="accent1" w:themeShade="BF"/>
    </w:rPr>
  </w:style>
  <w:style w:type="paragraph" w:styleId="GlAlnt">
    <w:name w:val="Intense Quote"/>
    <w:basedOn w:val="Normal"/>
    <w:next w:val="Normal"/>
    <w:link w:val="GlAlntChar"/>
    <w:uiPriority w:val="30"/>
    <w:qFormat/>
    <w:rsid w:val="00E66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6677E"/>
    <w:rPr>
      <w:i/>
      <w:iCs/>
      <w:color w:val="2F5496" w:themeColor="accent1" w:themeShade="BF"/>
    </w:rPr>
  </w:style>
  <w:style w:type="character" w:styleId="GlBavuru">
    <w:name w:val="Intense Reference"/>
    <w:basedOn w:val="VarsaylanParagrafYazTipi"/>
    <w:uiPriority w:val="32"/>
    <w:qFormat/>
    <w:rsid w:val="00E667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2025-11-21T13:04:00Z</dcterms:created>
  <dcterms:modified xsi:type="dcterms:W3CDTF">2025-11-21T13:05:00Z</dcterms:modified>
</cp:coreProperties>
</file>