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B4CC" w14:textId="77777777" w:rsidR="002A4C3A" w:rsidRPr="002A4C3A" w:rsidRDefault="002A4C3A" w:rsidP="002A4C3A">
      <w:pPr>
        <w:rPr>
          <w:b/>
          <w:bCs/>
        </w:rPr>
      </w:pPr>
      <w:r w:rsidRPr="002A4C3A">
        <w:rPr>
          <w:b/>
          <w:bCs/>
        </w:rPr>
        <w:t>RTC-710AP Saha Ekipman Testine İyi Titreşimleri Getiriyor</w:t>
      </w:r>
    </w:p>
    <w:p w14:paraId="37B1BCEB" w14:textId="77777777" w:rsidR="002A4C3A" w:rsidRPr="002A4C3A" w:rsidRDefault="002A4C3A" w:rsidP="002A4C3A">
      <w:r w:rsidRPr="002A4C3A">
        <w:rPr>
          <w:b/>
          <w:bCs/>
        </w:rPr>
        <w:t>Giriş</w:t>
      </w:r>
      <w:r w:rsidRPr="002A4C3A">
        <w:br/>
        <w:t>Endüstriyel ekipman bakımında, makinelerin sağlığını izlemek ve potansiyel sorunları önceden tespit etmek kritik öneme sahiptir. Böyle bir ortamda makinelerin ve dönen varlıkların (motorlar, pompalar, fanlar) çalışabilirliğini değerlendirmek için zamanla test edilmiş yöntemlerden biri titreşim analizidir. Bu yöntem, ekipmanın durumu hakkında önemli bilgiler sunar.</w:t>
      </w:r>
    </w:p>
    <w:p w14:paraId="38A94FCC" w14:textId="77777777" w:rsidR="002A4C3A" w:rsidRPr="002A4C3A" w:rsidRDefault="002A4C3A" w:rsidP="002A4C3A">
      <w:r w:rsidRPr="002A4C3A">
        <w:t xml:space="preserve">Avrupa’nın önde gelen endüstriyel izleme cihazları sağlayıcılarından biri, taşınabilir endüstriyel titreşim analiz ünitesini güncellemek istedi. Geniş portföyündeki kompakt ve dayanıklı tabletlerden dolayı, şirket çözüm için </w:t>
      </w:r>
      <w:proofErr w:type="spellStart"/>
      <w:r w:rsidRPr="002A4C3A">
        <w:t>AAEON’a</w:t>
      </w:r>
      <w:proofErr w:type="spellEnd"/>
      <w:r w:rsidRPr="002A4C3A">
        <w:t xml:space="preserve"> başvurdu.</w:t>
      </w:r>
    </w:p>
    <w:p w14:paraId="52672970" w14:textId="77777777" w:rsidR="002A4C3A" w:rsidRPr="002A4C3A" w:rsidRDefault="002A4C3A" w:rsidP="002A4C3A">
      <w:r w:rsidRPr="002A4C3A">
        <w:pict w14:anchorId="58D48E2C">
          <v:rect id="_x0000_i1175" style="width:0;height:1.5pt" o:hralign="center" o:hrstd="t" o:hr="t" fillcolor="#a0a0a0" stroked="f"/>
        </w:pict>
      </w:r>
    </w:p>
    <w:p w14:paraId="5AAD8FD8" w14:textId="77777777" w:rsidR="002A4C3A" w:rsidRPr="002A4C3A" w:rsidRDefault="002A4C3A" w:rsidP="002A4C3A">
      <w:pPr>
        <w:rPr>
          <w:b/>
          <w:bCs/>
        </w:rPr>
      </w:pPr>
      <w:r w:rsidRPr="002A4C3A">
        <w:rPr>
          <w:b/>
          <w:bCs/>
        </w:rPr>
        <w:t>Saha Testleri</w:t>
      </w:r>
    </w:p>
    <w:p w14:paraId="4F74295C" w14:textId="77777777" w:rsidR="002A4C3A" w:rsidRPr="002A4C3A" w:rsidRDefault="002A4C3A" w:rsidP="002A4C3A">
      <w:r w:rsidRPr="002A4C3A">
        <w:t>Müşteri, izleme ünitesini çeşitli endüstriyel ortamlarda konuşlandıracağından, proje hem kompakt hem de portatif bir işlem birimi gerektiriyordu. Bu nedenle seçilecek cihaz, veri analizi, görselleştirme ve saha teşhisi gibi görevleri yerine getirebilecek teknik özelliklere sahip olmalı ve zorlu koşullarda güvenilir çalışabilmeliydi.</w:t>
      </w:r>
    </w:p>
    <w:p w14:paraId="36638ABC" w14:textId="77777777" w:rsidR="002A4C3A" w:rsidRPr="002A4C3A" w:rsidRDefault="002A4C3A" w:rsidP="002A4C3A">
      <w:r w:rsidRPr="002A4C3A">
        <w:t>Müşterinin ürününün temel avantajlarından biri taşınabilirlik ve çok yönlülüktü; dolayısıyla seçilen platform hem kompakt ve hafif olmalı hem de yüksek hızlı veri aktarımı için gerekli arayüzleri desteklemeliydi. Bu gereklilikler, cihazın uzun süreli saha kullanımında sürekli çalışmasını sağlamak açısından kritik öneme sahipti.</w:t>
      </w:r>
    </w:p>
    <w:p w14:paraId="23CE1FBF" w14:textId="77777777" w:rsidR="002A4C3A" w:rsidRPr="002A4C3A" w:rsidRDefault="002A4C3A" w:rsidP="002A4C3A">
      <w:r w:rsidRPr="002A4C3A">
        <w:pict w14:anchorId="6D5F1203">
          <v:rect id="_x0000_i1176" style="width:0;height:1.5pt" o:hralign="center" o:hrstd="t" o:hr="t" fillcolor="#a0a0a0" stroked="f"/>
        </w:pict>
      </w:r>
    </w:p>
    <w:p w14:paraId="35A4A6DF" w14:textId="77777777" w:rsidR="002A4C3A" w:rsidRPr="002A4C3A" w:rsidRDefault="002A4C3A" w:rsidP="002A4C3A">
      <w:pPr>
        <w:rPr>
          <w:b/>
          <w:bCs/>
        </w:rPr>
      </w:pPr>
      <w:r w:rsidRPr="002A4C3A">
        <w:rPr>
          <w:b/>
          <w:bCs/>
        </w:rPr>
        <w:t>Neden RTC-710AP?</w:t>
      </w:r>
    </w:p>
    <w:p w14:paraId="08A2939B" w14:textId="77777777" w:rsidR="002A4C3A" w:rsidRPr="002A4C3A" w:rsidRDefault="002A4C3A" w:rsidP="002A4C3A">
      <w:pPr>
        <w:rPr>
          <w:b/>
          <w:bCs/>
        </w:rPr>
      </w:pPr>
      <w:r w:rsidRPr="002A4C3A">
        <w:rPr>
          <w:b/>
          <w:bCs/>
        </w:rPr>
        <w:t>Dayanıklı ve Sağlam Donanım</w:t>
      </w:r>
    </w:p>
    <w:p w14:paraId="60054592" w14:textId="77777777" w:rsidR="002A4C3A" w:rsidRPr="002A4C3A" w:rsidRDefault="002A4C3A" w:rsidP="002A4C3A">
      <w:r w:rsidRPr="002A4C3A">
        <w:t xml:space="preserve">Müşterinin proje gereksinimleri düşünüldüğünde, </w:t>
      </w:r>
      <w:proofErr w:type="spellStart"/>
      <w:r w:rsidRPr="002A4C3A">
        <w:t>AAEON’un</w:t>
      </w:r>
      <w:proofErr w:type="spellEnd"/>
      <w:r w:rsidRPr="002A4C3A">
        <w:t xml:space="preserve"> RTC-710AP modeli en uygun çözüm olarak öne çıktı. RTC-710AP, zorlu endüstriyel ortamlar için tasarlanmış dayanıklı bir cihaz olup, çok yönlü bağlantı seçenekleri sayesinde müşteri ekipmanına kolayca entegre edilebiliyordu.</w:t>
      </w:r>
    </w:p>
    <w:p w14:paraId="454AEEF2" w14:textId="77777777" w:rsidR="002A4C3A" w:rsidRPr="002A4C3A" w:rsidRDefault="002A4C3A" w:rsidP="002A4C3A">
      <w:pPr>
        <w:numPr>
          <w:ilvl w:val="0"/>
          <w:numId w:val="5"/>
        </w:numPr>
      </w:pPr>
      <w:r w:rsidRPr="002A4C3A">
        <w:rPr>
          <w:b/>
          <w:bCs/>
        </w:rPr>
        <w:t>Dayanıklılık:</w:t>
      </w:r>
      <w:r w:rsidRPr="002A4C3A">
        <w:t xml:space="preserve"> MIL-STD-810G standartlarına uygun nem, titreşim ve düşmeye dayanıklılık.</w:t>
      </w:r>
    </w:p>
    <w:p w14:paraId="66BD8BE2" w14:textId="77777777" w:rsidR="002A4C3A" w:rsidRPr="002A4C3A" w:rsidRDefault="002A4C3A" w:rsidP="002A4C3A">
      <w:pPr>
        <w:numPr>
          <w:ilvl w:val="0"/>
          <w:numId w:val="5"/>
        </w:numPr>
      </w:pPr>
      <w:r w:rsidRPr="002A4C3A">
        <w:rPr>
          <w:b/>
          <w:bCs/>
        </w:rPr>
        <w:t>Su ve toz koruması:</w:t>
      </w:r>
      <w:r w:rsidRPr="002A4C3A">
        <w:t xml:space="preserve"> IP65 sertifikasıyla su ve toza karşı koruma.</w:t>
      </w:r>
    </w:p>
    <w:p w14:paraId="10AC525E" w14:textId="77777777" w:rsidR="002A4C3A" w:rsidRPr="002A4C3A" w:rsidRDefault="002A4C3A" w:rsidP="002A4C3A">
      <w:pPr>
        <w:numPr>
          <w:ilvl w:val="0"/>
          <w:numId w:val="5"/>
        </w:numPr>
      </w:pPr>
      <w:r w:rsidRPr="002A4C3A">
        <w:rPr>
          <w:b/>
          <w:bCs/>
        </w:rPr>
        <w:t>Sıcaklık dayanımı:</w:t>
      </w:r>
      <w:r w:rsidRPr="002A4C3A">
        <w:t xml:space="preserve"> -20°C ila 50°C arası çalışma sıcaklığı.</w:t>
      </w:r>
    </w:p>
    <w:p w14:paraId="3DE09DE4" w14:textId="77777777" w:rsidR="002A4C3A" w:rsidRPr="002A4C3A" w:rsidRDefault="002A4C3A" w:rsidP="002A4C3A">
      <w:r w:rsidRPr="002A4C3A">
        <w:t>Bu sayede fabrikalar, enerji santralleri ve diğer endüstriyel ortamlarda güvenle kullanılabiliyordu.</w:t>
      </w:r>
    </w:p>
    <w:p w14:paraId="6D160114" w14:textId="77777777" w:rsidR="002A4C3A" w:rsidRPr="002A4C3A" w:rsidRDefault="002A4C3A" w:rsidP="002A4C3A">
      <w:r w:rsidRPr="002A4C3A">
        <w:pict w14:anchorId="7342E9BC">
          <v:rect id="_x0000_i1177" style="width:0;height:1.5pt" o:hralign="center" o:hrstd="t" o:hr="t" fillcolor="#a0a0a0" stroked="f"/>
        </w:pict>
      </w:r>
    </w:p>
    <w:p w14:paraId="00344086" w14:textId="77777777" w:rsidR="002A4C3A" w:rsidRPr="002A4C3A" w:rsidRDefault="002A4C3A" w:rsidP="002A4C3A">
      <w:pPr>
        <w:rPr>
          <w:b/>
          <w:bCs/>
        </w:rPr>
      </w:pPr>
      <w:r w:rsidRPr="002A4C3A">
        <w:rPr>
          <w:b/>
          <w:bCs/>
        </w:rPr>
        <w:lastRenderedPageBreak/>
        <w:t>Bağlantı ve Verimlilik Dengesi</w:t>
      </w:r>
    </w:p>
    <w:p w14:paraId="6F9C09A7" w14:textId="77777777" w:rsidR="002A4C3A" w:rsidRPr="002A4C3A" w:rsidRDefault="002A4C3A" w:rsidP="002A4C3A">
      <w:r w:rsidRPr="002A4C3A">
        <w:t xml:space="preserve">Diğer tabletler daha yüksek işlem gücü sunsa </w:t>
      </w:r>
      <w:proofErr w:type="gramStart"/>
      <w:r w:rsidRPr="002A4C3A">
        <w:t>da,</w:t>
      </w:r>
      <w:proofErr w:type="gramEnd"/>
      <w:r w:rsidRPr="002A4C3A">
        <w:t xml:space="preserve"> RTC-710AP’nin Intel® Pentium® N4200 işlemcisi projedeki titreşim analiz algoritmaları için idealdi.</w:t>
      </w:r>
    </w:p>
    <w:p w14:paraId="502B359E" w14:textId="77777777" w:rsidR="002A4C3A" w:rsidRPr="002A4C3A" w:rsidRDefault="002A4C3A" w:rsidP="002A4C3A">
      <w:pPr>
        <w:numPr>
          <w:ilvl w:val="0"/>
          <w:numId w:val="6"/>
        </w:numPr>
      </w:pPr>
      <w:r w:rsidRPr="002A4C3A">
        <w:rPr>
          <w:b/>
          <w:bCs/>
        </w:rPr>
        <w:t>İşlemci:</w:t>
      </w:r>
      <w:r w:rsidRPr="002A4C3A">
        <w:t xml:space="preserve"> Dört çekirdekli, 6W TDP ile yeterli hesaplama gücü</w:t>
      </w:r>
    </w:p>
    <w:p w14:paraId="24B4D07B" w14:textId="77777777" w:rsidR="002A4C3A" w:rsidRPr="002A4C3A" w:rsidRDefault="002A4C3A" w:rsidP="002A4C3A">
      <w:pPr>
        <w:numPr>
          <w:ilvl w:val="0"/>
          <w:numId w:val="6"/>
        </w:numPr>
      </w:pPr>
      <w:r w:rsidRPr="002A4C3A">
        <w:rPr>
          <w:b/>
          <w:bCs/>
        </w:rPr>
        <w:t>Depolama:</w:t>
      </w:r>
      <w:r w:rsidRPr="002A4C3A">
        <w:t xml:space="preserve"> 128GB </w:t>
      </w:r>
      <w:proofErr w:type="spellStart"/>
      <w:r w:rsidRPr="002A4C3A">
        <w:t>eMMC</w:t>
      </w:r>
      <w:proofErr w:type="spellEnd"/>
      <w:r w:rsidRPr="002A4C3A">
        <w:t>, yüksek çözünürlüklü dalga formu verilerini saklamak için yeterli alan</w:t>
      </w:r>
    </w:p>
    <w:p w14:paraId="47AECF9B" w14:textId="77777777" w:rsidR="002A4C3A" w:rsidRPr="002A4C3A" w:rsidRDefault="002A4C3A" w:rsidP="002A4C3A">
      <w:pPr>
        <w:numPr>
          <w:ilvl w:val="0"/>
          <w:numId w:val="6"/>
        </w:numPr>
      </w:pPr>
      <w:r w:rsidRPr="002A4C3A">
        <w:rPr>
          <w:b/>
          <w:bCs/>
        </w:rPr>
        <w:t>Bağlantı:</w:t>
      </w:r>
      <w:r w:rsidRPr="002A4C3A">
        <w:t xml:space="preserve"> USB 3.2 Gen 1 (</w:t>
      </w:r>
      <w:proofErr w:type="spellStart"/>
      <w:r w:rsidRPr="002A4C3A">
        <w:t>Type</w:t>
      </w:r>
      <w:proofErr w:type="spellEnd"/>
      <w:r w:rsidRPr="002A4C3A">
        <w:t xml:space="preserve">-C), isteğe bağlı COM port (RS-232), </w:t>
      </w:r>
      <w:proofErr w:type="spellStart"/>
      <w:r w:rsidRPr="002A4C3A">
        <w:t>Wi</w:t>
      </w:r>
      <w:proofErr w:type="spellEnd"/>
      <w:r w:rsidRPr="002A4C3A">
        <w:t>-Fi ve Bluetooth</w:t>
      </w:r>
    </w:p>
    <w:p w14:paraId="185F4DBE" w14:textId="77777777" w:rsidR="002A4C3A" w:rsidRPr="002A4C3A" w:rsidRDefault="002A4C3A" w:rsidP="002A4C3A">
      <w:pPr>
        <w:numPr>
          <w:ilvl w:val="0"/>
          <w:numId w:val="6"/>
        </w:numPr>
      </w:pPr>
      <w:r w:rsidRPr="002A4C3A">
        <w:rPr>
          <w:b/>
          <w:bCs/>
        </w:rPr>
        <w:t>Esneklik:</w:t>
      </w:r>
      <w:r w:rsidRPr="002A4C3A">
        <w:t xml:space="preserve"> Sensör entegrasyonuna uygun, farklı endüstriyel ekipmanlarla uyumlu</w:t>
      </w:r>
    </w:p>
    <w:p w14:paraId="1B364319" w14:textId="77777777" w:rsidR="002A4C3A" w:rsidRPr="002A4C3A" w:rsidRDefault="002A4C3A" w:rsidP="002A4C3A">
      <w:proofErr w:type="spellStart"/>
      <w:r w:rsidRPr="002A4C3A">
        <w:t>Wi</w:t>
      </w:r>
      <w:proofErr w:type="spellEnd"/>
      <w:r w:rsidRPr="002A4C3A">
        <w:t>-Fi ve Bluetooth sayesinde gerçek zamanlı veri aktarımı ve uzaktan teşhis yapılabiliyordu, bu da saha verimliliğini artırdı.</w:t>
      </w:r>
    </w:p>
    <w:p w14:paraId="0BB8DE17" w14:textId="77777777" w:rsidR="002A4C3A" w:rsidRPr="002A4C3A" w:rsidRDefault="002A4C3A" w:rsidP="002A4C3A">
      <w:r w:rsidRPr="002A4C3A">
        <w:pict w14:anchorId="690DB9D2">
          <v:rect id="_x0000_i1178" style="width:0;height:1.5pt" o:hralign="center" o:hrstd="t" o:hr="t" fillcolor="#a0a0a0" stroked="f"/>
        </w:pict>
      </w:r>
    </w:p>
    <w:p w14:paraId="4E2CE12F" w14:textId="77777777" w:rsidR="002A4C3A" w:rsidRPr="002A4C3A" w:rsidRDefault="002A4C3A" w:rsidP="002A4C3A">
      <w:pPr>
        <w:rPr>
          <w:b/>
          <w:bCs/>
        </w:rPr>
      </w:pPr>
      <w:r w:rsidRPr="002A4C3A">
        <w:rPr>
          <w:b/>
          <w:bCs/>
        </w:rPr>
        <w:t>Güvenilir Kullanım – Her Zaman, Her Yerde</w:t>
      </w:r>
    </w:p>
    <w:p w14:paraId="2AC7B732" w14:textId="77777777" w:rsidR="002A4C3A" w:rsidRPr="002A4C3A" w:rsidRDefault="002A4C3A" w:rsidP="002A4C3A">
      <w:r w:rsidRPr="002A4C3A">
        <w:t>Taşınabilir cihazlarda kullanıcı dostu olmanın önemi büyüktür. Teknik personel, monitörün farklı ortamlarda taşınabilir ve duyarlı olmasını bekliyordu.</w:t>
      </w:r>
    </w:p>
    <w:p w14:paraId="4ACBBAF3" w14:textId="77777777" w:rsidR="002A4C3A" w:rsidRPr="002A4C3A" w:rsidRDefault="002A4C3A" w:rsidP="002A4C3A">
      <w:pPr>
        <w:numPr>
          <w:ilvl w:val="0"/>
          <w:numId w:val="7"/>
        </w:numPr>
      </w:pPr>
      <w:r w:rsidRPr="002A4C3A">
        <w:rPr>
          <w:b/>
          <w:bCs/>
        </w:rPr>
        <w:t>Ekran:</w:t>
      </w:r>
      <w:r w:rsidRPr="002A4C3A">
        <w:t xml:space="preserve"> 7” 700 </w:t>
      </w:r>
      <w:proofErr w:type="spellStart"/>
      <w:r w:rsidRPr="002A4C3A">
        <w:t>nit</w:t>
      </w:r>
      <w:proofErr w:type="spellEnd"/>
      <w:r w:rsidRPr="002A4C3A">
        <w:t xml:space="preserve"> kapasitif </w:t>
      </w:r>
      <w:proofErr w:type="spellStart"/>
      <w:r w:rsidRPr="002A4C3A">
        <w:t>multi-touch</w:t>
      </w:r>
      <w:proofErr w:type="spellEnd"/>
      <w:r w:rsidRPr="002A4C3A">
        <w:t xml:space="preserve"> ekran, net görsel görüntü</w:t>
      </w:r>
    </w:p>
    <w:p w14:paraId="04CFE88D" w14:textId="77777777" w:rsidR="002A4C3A" w:rsidRPr="002A4C3A" w:rsidRDefault="002A4C3A" w:rsidP="002A4C3A">
      <w:pPr>
        <w:numPr>
          <w:ilvl w:val="0"/>
          <w:numId w:val="7"/>
        </w:numPr>
      </w:pPr>
      <w:r w:rsidRPr="002A4C3A">
        <w:rPr>
          <w:b/>
          <w:bCs/>
        </w:rPr>
        <w:t>Pil:</w:t>
      </w:r>
      <w:r w:rsidRPr="002A4C3A">
        <w:t xml:space="preserve"> 32.7W lityum-iyon pil → yaklaşık 8 saat kullanım</w:t>
      </w:r>
    </w:p>
    <w:p w14:paraId="37192EC2" w14:textId="77777777" w:rsidR="002A4C3A" w:rsidRPr="002A4C3A" w:rsidRDefault="002A4C3A" w:rsidP="002A4C3A">
      <w:pPr>
        <w:numPr>
          <w:ilvl w:val="0"/>
          <w:numId w:val="7"/>
        </w:numPr>
      </w:pPr>
      <w:r w:rsidRPr="002A4C3A">
        <w:rPr>
          <w:b/>
          <w:bCs/>
        </w:rPr>
        <w:t>Ek pil:</w:t>
      </w:r>
      <w:r w:rsidRPr="002A4C3A">
        <w:t xml:space="preserve"> 11.3W hot-</w:t>
      </w:r>
      <w:proofErr w:type="spellStart"/>
      <w:r w:rsidRPr="002A4C3A">
        <w:t>swappable</w:t>
      </w:r>
      <w:proofErr w:type="spellEnd"/>
      <w:r w:rsidRPr="002A4C3A">
        <w:t xml:space="preserve"> pil → uzun saha çalışmaları için kesintisiz kullanım</w:t>
      </w:r>
    </w:p>
    <w:p w14:paraId="5C239188" w14:textId="77777777" w:rsidR="002A4C3A" w:rsidRPr="002A4C3A" w:rsidRDefault="002A4C3A" w:rsidP="002A4C3A">
      <w:r w:rsidRPr="002A4C3A">
        <w:pict w14:anchorId="4E9E961D">
          <v:rect id="_x0000_i1179" style="width:0;height:1.5pt" o:hralign="center" o:hrstd="t" o:hr="t" fillcolor="#a0a0a0" stroked="f"/>
        </w:pict>
      </w:r>
    </w:p>
    <w:p w14:paraId="5B92EC11" w14:textId="77777777" w:rsidR="002A4C3A" w:rsidRPr="002A4C3A" w:rsidRDefault="002A4C3A" w:rsidP="002A4C3A">
      <w:pPr>
        <w:rPr>
          <w:b/>
          <w:bCs/>
        </w:rPr>
      </w:pPr>
      <w:r w:rsidRPr="002A4C3A">
        <w:rPr>
          <w:b/>
          <w:bCs/>
        </w:rPr>
        <w:t>Ölçeklenebilir Çözüm – Prediktif Bakım</w:t>
      </w:r>
    </w:p>
    <w:p w14:paraId="2E7723F7" w14:textId="77777777" w:rsidR="002A4C3A" w:rsidRPr="002A4C3A" w:rsidRDefault="002A4C3A" w:rsidP="002A4C3A">
      <w:r w:rsidRPr="002A4C3A">
        <w:t>RTC-710AP’yi taşınabilir titreşim analiz sisteminin temeli olarak seçen müşteri, sahaya dayanıklı, verimli ve kullanıcı dostu bir cihaz sunmayı başardı.</w:t>
      </w:r>
    </w:p>
    <w:p w14:paraId="2BAB81C4" w14:textId="77777777" w:rsidR="002A4C3A" w:rsidRPr="002A4C3A" w:rsidRDefault="002A4C3A" w:rsidP="002A4C3A">
      <w:pPr>
        <w:numPr>
          <w:ilvl w:val="0"/>
          <w:numId w:val="8"/>
        </w:numPr>
      </w:pPr>
      <w:r w:rsidRPr="002A4C3A">
        <w:rPr>
          <w:b/>
          <w:bCs/>
        </w:rPr>
        <w:t>Avantajlar:</w:t>
      </w:r>
      <w:r w:rsidRPr="002A4C3A">
        <w:t xml:space="preserve"> Yüksek depolama kapasitesi, sağlam endüstriyel arayüzler, olağanüstü dayanıklılık</w:t>
      </w:r>
    </w:p>
    <w:p w14:paraId="6D9DF72B" w14:textId="77777777" w:rsidR="002A4C3A" w:rsidRPr="002A4C3A" w:rsidRDefault="002A4C3A" w:rsidP="002A4C3A">
      <w:pPr>
        <w:numPr>
          <w:ilvl w:val="0"/>
          <w:numId w:val="8"/>
        </w:numPr>
      </w:pPr>
      <w:r w:rsidRPr="002A4C3A">
        <w:rPr>
          <w:b/>
          <w:bCs/>
        </w:rPr>
        <w:t>Sonuç:</w:t>
      </w:r>
      <w:r w:rsidRPr="002A4C3A">
        <w:t xml:space="preserve"> Veri odaklı prediktif bakım için ideal platform</w:t>
      </w:r>
    </w:p>
    <w:p w14:paraId="60202AF3" w14:textId="77777777" w:rsidR="002A4C3A" w:rsidRPr="002A4C3A" w:rsidRDefault="002A4C3A" w:rsidP="002A4C3A">
      <w:proofErr w:type="spellStart"/>
      <w:r w:rsidRPr="002A4C3A">
        <w:t>AAEON’un</w:t>
      </w:r>
      <w:proofErr w:type="spellEnd"/>
      <w:r w:rsidRPr="002A4C3A">
        <w:t xml:space="preserve"> tasarım uzmanlığı ve üst düzey gömülü çözümleri pazara sunma kabiliyeti, bu projenin başarısı ile doğrulanmış oldu.</w:t>
      </w:r>
    </w:p>
    <w:p w14:paraId="79CC9E8B"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203"/>
    <w:multiLevelType w:val="multilevel"/>
    <w:tmpl w:val="C46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D078A"/>
    <w:multiLevelType w:val="multilevel"/>
    <w:tmpl w:val="E86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B0548"/>
    <w:multiLevelType w:val="multilevel"/>
    <w:tmpl w:val="896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34D2C"/>
    <w:multiLevelType w:val="multilevel"/>
    <w:tmpl w:val="C0D8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07A22"/>
    <w:multiLevelType w:val="multilevel"/>
    <w:tmpl w:val="851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B3387"/>
    <w:multiLevelType w:val="multilevel"/>
    <w:tmpl w:val="15BC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AA1937"/>
    <w:multiLevelType w:val="multilevel"/>
    <w:tmpl w:val="2B6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C6629"/>
    <w:multiLevelType w:val="multilevel"/>
    <w:tmpl w:val="FF5A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017368">
    <w:abstractNumId w:val="6"/>
  </w:num>
  <w:num w:numId="2" w16cid:durableId="1281961286">
    <w:abstractNumId w:val="5"/>
  </w:num>
  <w:num w:numId="3" w16cid:durableId="1284530972">
    <w:abstractNumId w:val="0"/>
  </w:num>
  <w:num w:numId="4" w16cid:durableId="1452744572">
    <w:abstractNumId w:val="7"/>
  </w:num>
  <w:num w:numId="5" w16cid:durableId="1249730703">
    <w:abstractNumId w:val="2"/>
  </w:num>
  <w:num w:numId="6" w16cid:durableId="1334642886">
    <w:abstractNumId w:val="1"/>
  </w:num>
  <w:num w:numId="7" w16cid:durableId="821198478">
    <w:abstractNumId w:val="3"/>
  </w:num>
  <w:num w:numId="8" w16cid:durableId="128006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E5"/>
    <w:rsid w:val="002A4C3A"/>
    <w:rsid w:val="005208E5"/>
    <w:rsid w:val="006879CF"/>
    <w:rsid w:val="006B59BD"/>
    <w:rsid w:val="006D41E0"/>
    <w:rsid w:val="00947289"/>
    <w:rsid w:val="009D53D2"/>
    <w:rsid w:val="00EC3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5F1F"/>
  <w15:chartTrackingRefBased/>
  <w15:docId w15:val="{9EA3344F-F1D0-45BA-AACA-A0DD661C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20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20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208E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208E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208E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208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08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08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08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08E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208E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208E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208E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208E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208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08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08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08E5"/>
    <w:rPr>
      <w:rFonts w:eastAsiaTheme="majorEastAsia" w:cstheme="majorBidi"/>
      <w:color w:val="272727" w:themeColor="text1" w:themeTint="D8"/>
    </w:rPr>
  </w:style>
  <w:style w:type="paragraph" w:styleId="KonuBal">
    <w:name w:val="Title"/>
    <w:basedOn w:val="Normal"/>
    <w:next w:val="Normal"/>
    <w:link w:val="KonuBalChar"/>
    <w:uiPriority w:val="10"/>
    <w:qFormat/>
    <w:rsid w:val="0052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08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08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08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08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08E5"/>
    <w:rPr>
      <w:i/>
      <w:iCs/>
      <w:color w:val="404040" w:themeColor="text1" w:themeTint="BF"/>
    </w:rPr>
  </w:style>
  <w:style w:type="paragraph" w:styleId="ListeParagraf">
    <w:name w:val="List Paragraph"/>
    <w:basedOn w:val="Normal"/>
    <w:uiPriority w:val="34"/>
    <w:qFormat/>
    <w:rsid w:val="005208E5"/>
    <w:pPr>
      <w:ind w:left="720"/>
      <w:contextualSpacing/>
    </w:pPr>
  </w:style>
  <w:style w:type="character" w:styleId="GlVurgulama">
    <w:name w:val="Intense Emphasis"/>
    <w:basedOn w:val="VarsaylanParagrafYazTipi"/>
    <w:uiPriority w:val="21"/>
    <w:qFormat/>
    <w:rsid w:val="005208E5"/>
    <w:rPr>
      <w:i/>
      <w:iCs/>
      <w:color w:val="2F5496" w:themeColor="accent1" w:themeShade="BF"/>
    </w:rPr>
  </w:style>
  <w:style w:type="paragraph" w:styleId="GlAlnt">
    <w:name w:val="Intense Quote"/>
    <w:basedOn w:val="Normal"/>
    <w:next w:val="Normal"/>
    <w:link w:val="GlAlntChar"/>
    <w:uiPriority w:val="30"/>
    <w:qFormat/>
    <w:rsid w:val="00520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208E5"/>
    <w:rPr>
      <w:i/>
      <w:iCs/>
      <w:color w:val="2F5496" w:themeColor="accent1" w:themeShade="BF"/>
    </w:rPr>
  </w:style>
  <w:style w:type="character" w:styleId="GlBavuru">
    <w:name w:val="Intense Reference"/>
    <w:basedOn w:val="VarsaylanParagrafYazTipi"/>
    <w:uiPriority w:val="32"/>
    <w:qFormat/>
    <w:rsid w:val="00520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2</cp:revision>
  <dcterms:created xsi:type="dcterms:W3CDTF">2025-11-21T13:45:00Z</dcterms:created>
  <dcterms:modified xsi:type="dcterms:W3CDTF">2025-11-21T14:02:00Z</dcterms:modified>
</cp:coreProperties>
</file>